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64" w:rsidRPr="003A1A66" w:rsidRDefault="00766F64" w:rsidP="00766F64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A1A6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Подать электронное заявление </w:t>
      </w:r>
    </w:p>
    <w:p w:rsidR="00766F64" w:rsidRPr="003A1A66" w:rsidRDefault="00766F64" w:rsidP="00766F64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3A1A66">
        <w:rPr>
          <w:rFonts w:ascii="Times New Roman" w:hAnsi="Times New Roman" w:cs="Times New Roman"/>
          <w:b/>
          <w:color w:val="333333"/>
          <w:sz w:val="28"/>
          <w:szCs w:val="28"/>
        </w:rPr>
        <w:t>на ежемесячную выплату из материнского капитала</w:t>
      </w:r>
    </w:p>
    <w:p w:rsidR="003A1A66" w:rsidRDefault="003A1A66" w:rsidP="00766F64">
      <w:pPr>
        <w:spacing w:after="15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7D2A31" w:rsidRDefault="003A1A66" w:rsidP="007D2A31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3A1A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552700" cy="1971675"/>
            <wp:effectExtent l="19050" t="0" r="0" b="0"/>
            <wp:wrapSquare wrapText="bothSides"/>
            <wp:docPr id="1" name="Рисунок 1" descr="C:\Users\Ира\Pictures\1447132365_170754_b744545b0d8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Users\Ира\Pictures\1447132365_170754_b744545b0d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4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71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 w:rsid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 w:rsid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 </w:t>
      </w:r>
      <w:r w:rsidR="00766F64"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напоминает, что подать заявление на ежемесячную выплату из средств материнского (семейного) капитала можно и в электронном виде. В личном кабинете на сайте ПФР работает </w:t>
      </w:r>
      <w:hyperlink r:id="rId6" w:anchor="services-f" w:history="1">
        <w:r w:rsidR="00766F64" w:rsidRPr="00766F64">
          <w:rPr>
            <w:rFonts w:ascii="Roboto" w:eastAsia="Times New Roman" w:hAnsi="Roboto" w:cs="Helvetica"/>
            <w:color w:val="000000" w:themeColor="text1"/>
            <w:sz w:val="27"/>
            <w:szCs w:val="27"/>
            <w:lang w:eastAsia="ru-RU"/>
          </w:rPr>
          <w:t>электронный сервис</w:t>
        </w:r>
      </w:hyperlink>
      <w:r w:rsidR="00766F64"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для владельцев материнского (семейного) капитала, где можно подать заявление о распоряжении средствами МСК на ежемесячную выплату в связи с рождением (усыновлением) второго ребенка. </w:t>
      </w:r>
    </w:p>
    <w:p w:rsidR="00766F64" w:rsidRPr="00766F64" w:rsidRDefault="00766F64" w:rsidP="007D2A31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Для  этого необходимо: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000000" w:themeColor="text1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войти  в личный кабинет гражданина на сайте Пенсионного фонда России, используя логин и пароль от </w:t>
      </w:r>
      <w:hyperlink r:id="rId7" w:history="1">
        <w:r w:rsidRPr="00766F64">
          <w:rPr>
            <w:rFonts w:ascii="Roboto" w:eastAsia="Times New Roman" w:hAnsi="Roboto" w:cs="Helvetica"/>
            <w:color w:val="000000" w:themeColor="text1"/>
            <w:sz w:val="27"/>
            <w:szCs w:val="27"/>
            <w:lang w:eastAsia="ru-RU"/>
          </w:rPr>
          <w:t>Единого портала государственных и муниципальных услуг;</w:t>
        </w:r>
      </w:hyperlink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выбрать в разделе «Материнский (семейный) капитал – МСК» вкладку «Подать заявление о распоряжении средствами МСК на ежемесячную выплату в связи с рождением (усыновлением) второго ребенка»;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указать территориальный орган ПФР и выбрать способ подачи заявления (лично или через представителя);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ввести запрашиваемые данные заявителя;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указать данные о сертификате МСК;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ввести  данные о распоряжении средствами МСК;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добавить сведения о составе семьи и доходах, полученных в денежной форме;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указать сведения, определяющие право на распоряжение средствами МСК;</w:t>
      </w:r>
    </w:p>
    <w:p w:rsidR="00766F64" w:rsidRPr="00766F64" w:rsidRDefault="00766F64" w:rsidP="00766F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нажать кнопку «Сформировать заявление».</w:t>
      </w:r>
    </w:p>
    <w:p w:rsidR="00766F64" w:rsidRPr="00766F64" w:rsidRDefault="00766F64" w:rsidP="007D2A31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Подать заявление о распоряжении средствами МСК на ежемесячную выплату в связи с рождением (усыновлением) второго ребенка можно одновременно с заявлением о выдаче сертификата на материнский капитал. Также указанные заявления можно подать и лично, обратившись в территориальный орган ПФР или МФЦ.</w:t>
      </w:r>
    </w:p>
    <w:p w:rsidR="00E6079A" w:rsidRDefault="00766F64" w:rsidP="007D2A31">
      <w:pPr>
        <w:spacing w:line="240" w:lineRule="auto"/>
        <w:ind w:firstLine="360"/>
        <w:jc w:val="both"/>
      </w:pPr>
      <w:proofErr w:type="gramStart"/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Выплата полагается семьям, в которых второй ребенок роди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л</w:t>
      </w: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ся или  усыновлен после 1 января 2018 года, и в которых доход семьи на каждого члена семьи не превышает 1,5-кратной величины установленного в регионе прожиточного минимума трудоспособного гражданина за II квартал предшествующего года.</w:t>
      </w:r>
      <w:proofErr w:type="gramEnd"/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 В 2019 году в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Республике Татарстан</w:t>
      </w: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это </w:t>
      </w:r>
      <w:r w:rsidR="0083660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8896</w:t>
      </w:r>
      <w:r w:rsidRPr="00766F6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рублей. Первый выплатной период рассчитан на год, по окончании вновь подается заявление на назначение выплаты.</w:t>
      </w:r>
    </w:p>
    <w:sectPr w:rsidR="00E6079A" w:rsidSect="007D2A3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2483B"/>
    <w:multiLevelType w:val="multilevel"/>
    <w:tmpl w:val="3AEC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F64"/>
    <w:rsid w:val="003A1A66"/>
    <w:rsid w:val="00766F64"/>
    <w:rsid w:val="007D2A31"/>
    <w:rsid w:val="0083660C"/>
    <w:rsid w:val="00E6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F6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59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2019-06-25T06:00:00Z</dcterms:created>
  <dcterms:modified xsi:type="dcterms:W3CDTF">2019-06-25T06:13:00Z</dcterms:modified>
</cp:coreProperties>
</file>